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864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864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68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Wahlstrom Mats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6272 W. 91ST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7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TriSalus Life Sciences,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TLSI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46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265"/>
          </w:cols>
          <w:pgMar w:left="460" w:top="219" w:right="439" w:bottom="686"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WESTMINSTER CO</w:t>
            </w:r>
          </w:p>
        </w:tc>
        <w:tc>
          <w:tcPr>
            <w:tcW w:w="160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80031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080"/>
          </w:cols>
          <w:pgMar w:left="460" w:top="219" w:right="439" w:bottom="686"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4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tcPr>
          <w:p>
            <w:pPr>
              <w:ind w:left="6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42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420" w:type="dxa"/>
            <w:vAlign w:val="bottom"/>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9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42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4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42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42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05/15/2026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P</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60,000</w:t>
            </w:r>
          </w:p>
        </w:tc>
        <w:tc>
          <w:tcPr>
            <w:tcW w:w="52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2.53</w:t>
            </w:r>
            <w:r>
              <w:rPr>
                <w:rFonts w:ascii="Times New Roman" w:cs="Times New Roman" w:eastAsia="Times New Roman" w:hAnsi="Times New Roman"/>
                <w:sz w:val="22"/>
                <w:szCs w:val="22"/>
                <w:color w:val="008000"/>
                <w:vertAlign w:val="superscript"/>
              </w:rPr>
              <w:t>(1)</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147,555</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90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1,444,447</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Leonard</w:t>
            </w:r>
          </w:p>
        </w:tc>
        <w:tc>
          <w:tcPr>
            <w:tcW w:w="0" w:type="dxa"/>
            <w:vAlign w:val="bottom"/>
          </w:tcPr>
          <w:p>
            <w:pPr>
              <w:spacing w:after="0"/>
              <w:rPr>
                <w:sz w:val="1"/>
                <w:szCs w:val="1"/>
                <w:color w:val="auto"/>
              </w:rPr>
            </w:pPr>
          </w:p>
        </w:tc>
      </w:tr>
      <w:tr>
        <w:trPr>
          <w:trHeight w:val="120"/>
        </w:trPr>
        <w:tc>
          <w:tcPr>
            <w:tcW w:w="242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93"/>
        </w:trPr>
        <w:tc>
          <w:tcPr>
            <w:tcW w:w="242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242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52"/>
        </w:trPr>
        <w:tc>
          <w:tcPr>
            <w:tcW w:w="242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 HW</w:t>
            </w:r>
          </w:p>
        </w:tc>
        <w:tc>
          <w:tcPr>
            <w:tcW w:w="0" w:type="dxa"/>
            <w:vAlign w:val="bottom"/>
          </w:tcPr>
          <w:p>
            <w:pPr>
              <w:spacing w:after="0"/>
              <w:rPr>
                <w:sz w:val="1"/>
                <w:szCs w:val="1"/>
                <w:color w:val="auto"/>
              </w:rPr>
            </w:pPr>
          </w:p>
        </w:tc>
      </w:tr>
      <w:tr>
        <w:trPr>
          <w:trHeight w:val="213"/>
        </w:trPr>
        <w:tc>
          <w:tcPr>
            <w:tcW w:w="24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1,370,028</w:t>
            </w:r>
          </w:p>
        </w:tc>
        <w:tc>
          <w:tcPr>
            <w:tcW w:w="92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120"/>
        </w:trPr>
        <w:tc>
          <w:tcPr>
            <w:tcW w:w="2420" w:type="dxa"/>
            <w:vAlign w:val="bottom"/>
            <w:vMerge w:val="continue"/>
          </w:tcPr>
          <w:p>
            <w:pPr>
              <w:spacing w:after="0"/>
              <w:rPr>
                <w:sz w:val="10"/>
                <w:szCs w:val="10"/>
                <w:color w:val="auto"/>
              </w:rPr>
            </w:pPr>
          </w:p>
        </w:tc>
        <w:tc>
          <w:tcPr>
            <w:tcW w:w="17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90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107"/>
        </w:trPr>
        <w:tc>
          <w:tcPr>
            <w:tcW w:w="24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ind w:left="10120"/>
        <w:spacing w:after="0"/>
        <w:rPr>
          <w:sz w:val="20"/>
          <w:szCs w:val="20"/>
          <w:color w:val="auto"/>
        </w:rPr>
      </w:pPr>
      <w:r>
        <w:rPr>
          <w:rFonts w:ascii="Times New Roman" w:cs="Times New Roman" w:eastAsia="Times New Roman" w:hAnsi="Times New Roman"/>
          <w:sz w:val="17"/>
          <w:szCs w:val="17"/>
          <w:color w:val="0000FF"/>
        </w:rPr>
        <w:t>LLC</w:t>
      </w:r>
      <w:r>
        <w:rPr>
          <w:rFonts w:ascii="Times New Roman" w:cs="Times New Roman" w:eastAsia="Times New Roman" w:hAnsi="Times New Roman"/>
          <w:sz w:val="22"/>
          <w:szCs w:val="22"/>
          <w:color w:val="008000"/>
          <w:vertAlign w:val="superscript"/>
        </w:rPr>
        <w:t>(3)</w:t>
      </w:r>
    </w:p>
    <w:p>
      <w:pPr>
        <w:spacing w:after="0" w:line="107"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2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in multiple transactions at prices ranging from $2.52 to $2.56 per share. The Reporting Person undertakes to provide to the Issuer, any security holder of the Issuer, or the staff of the Securities and Exchange Commission, upon request, full information regarding the number of shares purchased at each separate price within the range.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shares voting and investment discretion with his spouse with respect to the shares held directly by Leonard Capital LLC.</w:t>
      </w:r>
    </w:p>
    <w:p>
      <w:pPr>
        <w:spacing w:after="0" w:line="50" w:lineRule="exact"/>
        <w:rPr>
          <w:rFonts w:ascii="Times New Roman" w:cs="Times New Roman" w:eastAsia="Times New Roman" w:hAnsi="Times New Roman"/>
          <w:sz w:val="13"/>
          <w:szCs w:val="13"/>
          <w:color w:val="008000"/>
        </w:rPr>
      </w:pPr>
    </w:p>
    <w:p>
      <w:pPr>
        <w:ind w:left="40" w:right="6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managing member of HW Investment Partners, LLC ("HW Investment") and shares voting and investment discretion with respect to the shares held directly by HW Investment. The Reporting Person disclaims beneficial ownership of these securities except to the extent of his pecuniary interest therein.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Mary Szela,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05/18/2026</w:t>
            </w: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6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00"/>
      </w:cols>
      <w:pgMar w:left="460" w:top="219" w:right="439" w:bottom="68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459154" TargetMode="External"/><Relationship Id="rId14" Type="http://schemas.openxmlformats.org/officeDocument/2006/relationships/hyperlink" Target="http://www.sec.gov/cgi-bin/browse-edgar?action=getcompany&amp;CIK=00018266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2026-05-18T15:58:34Z</dcterms:created>
  <dcterms:modified xsi:type="dcterms:W3CDTF">2026-05-18T15:58:34Z</dcterms:modified>
</cp:coreProperties>
</file>