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47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4766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Marshall Richard Henry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20" w:type="dxa"/>
            <w:vAlign w:val="bottom"/>
            <w:tcBorders>
              <w:top w:val="single" w:sz="8" w:color="0000EE"/>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TriSalus Life Sciences,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TLSI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6"/>
              </w:rPr>
              <w:t>6272 W. 91ST AVENUE</w:t>
            </w:r>
          </w:p>
        </w:tc>
        <w:tc>
          <w:tcPr>
            <w:tcW w:w="10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WESTMINSTER CO</w:t>
            </w:r>
          </w:p>
        </w:tc>
        <w:tc>
          <w:tcPr>
            <w:tcW w:w="1060" w:type="dxa"/>
            <w:vAlign w:val="bottom"/>
          </w:tcPr>
          <w:p>
            <w:pPr>
              <w:jc w:val="right"/>
              <w:ind w:right="257"/>
              <w:spacing w:after="0"/>
              <w:rPr>
                <w:sz w:val="20"/>
                <w:szCs w:val="20"/>
                <w:color w:val="auto"/>
              </w:rPr>
            </w:pPr>
            <w:r>
              <w:rPr>
                <w:rFonts w:ascii="Times New Roman" w:cs="Times New Roman" w:eastAsia="Times New Roman" w:hAnsi="Times New Roman"/>
                <w:sz w:val="20"/>
                <w:szCs w:val="20"/>
                <w:color w:val="0000FF"/>
              </w:rPr>
              <w:t>80031</w:t>
            </w: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60" w:type="dxa"/>
            <w:vAlign w:val="bottom"/>
          </w:tcPr>
          <w:p>
            <w:pPr>
              <w:ind w:left="28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08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jc w:val="right"/>
              <w:ind w:right="999"/>
              <w:spacing w:after="0"/>
              <w:rPr>
                <w:sz w:val="20"/>
                <w:szCs w:val="20"/>
                <w:color w:val="auto"/>
              </w:rPr>
            </w:pPr>
            <w:r>
              <w:rPr>
                <w:rFonts w:ascii="Times New Roman" w:cs="Times New Roman" w:eastAsia="Times New Roman" w:hAnsi="Times New Roman"/>
                <w:sz w:val="20"/>
                <w:szCs w:val="20"/>
                <w:color w:val="0000FF"/>
              </w:rPr>
              <w:t>30,000</w:t>
            </w:r>
            <w:r>
              <w:rPr>
                <w:rFonts w:ascii="Times New Roman" w:cs="Times New Roman" w:eastAsia="Times New Roman" w:hAnsi="Times New Roman"/>
                <w:sz w:val="25"/>
                <w:szCs w:val="25"/>
                <w:color w:val="008000"/>
                <w:vertAlign w:val="superscript"/>
              </w:rPr>
              <w:t>(1)(2)</w:t>
            </w:r>
          </w:p>
        </w:tc>
        <w:tc>
          <w:tcPr>
            <w:tcW w:w="11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5760" w:type="dxa"/>
            <w:vAlign w:val="bottom"/>
            <w:tcBorders>
              <w:top w:val="single" w:sz="8" w:color="2C2C2C"/>
            </w:tcBorders>
            <w:gridSpan w:val="3"/>
          </w:tcPr>
          <w:p>
            <w:pPr>
              <w:jc w:val="center"/>
              <w:ind w:right="299"/>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3"/>
          </w:tcPr>
          <w:p>
            <w:pPr>
              <w:jc w:val="center"/>
              <w:ind w:right="299"/>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80" w:type="dxa"/>
            <w:vAlign w:val="bottom"/>
          </w:tcPr>
          <w:p>
            <w:pPr>
              <w:ind w:left="32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1180" w:type="dxa"/>
            <w:vAlign w:val="bottom"/>
          </w:tcPr>
          <w:p>
            <w:pPr>
              <w:ind w:left="2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8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180" w:type="dxa"/>
            <w:vAlign w:val="bottom"/>
          </w:tcPr>
          <w:p>
            <w:pPr>
              <w:ind w:left="2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r>
      <w:tr>
        <w:trPr>
          <w:trHeight w:val="179"/>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80" w:type="dxa"/>
            <w:vAlign w:val="bottom"/>
          </w:tcPr>
          <w:p>
            <w:pPr>
              <w:ind w:left="320"/>
              <w:spacing w:after="0"/>
              <w:rPr>
                <w:sz w:val="20"/>
                <w:szCs w:val="20"/>
                <w:color w:val="auto"/>
              </w:rPr>
            </w:pPr>
            <w:r>
              <w:rPr>
                <w:rFonts w:ascii="Arial" w:cs="Arial" w:eastAsia="Arial" w:hAnsi="Arial"/>
                <w:sz w:val="15"/>
                <w:szCs w:val="15"/>
                <w:b w:val="1"/>
                <w:bCs w:val="1"/>
                <w:color w:val="auto"/>
              </w:rPr>
              <w:t>(Month/Day/Year)</w:t>
            </w:r>
          </w:p>
        </w:tc>
        <w:tc>
          <w:tcPr>
            <w:tcW w:w="2500" w:type="dxa"/>
            <w:vAlign w:val="bottom"/>
          </w:tcPr>
          <w:p>
            <w:pPr>
              <w:ind w:left="100"/>
              <w:spacing w:after="0"/>
              <w:rPr>
                <w:sz w:val="20"/>
                <w:szCs w:val="20"/>
                <w:color w:val="auto"/>
              </w:rPr>
            </w:pPr>
            <w:r>
              <w:rPr>
                <w:rFonts w:ascii="Arial" w:cs="Arial" w:eastAsia="Arial" w:hAnsi="Arial"/>
                <w:sz w:val="15"/>
                <w:szCs w:val="15"/>
                <w:b w:val="1"/>
                <w:bCs w:val="1"/>
                <w:color w:val="auto"/>
              </w:rPr>
              <w:t>(Instr. 4)</w:t>
            </w:r>
          </w:p>
        </w:tc>
        <w:tc>
          <w:tcPr>
            <w:tcW w:w="1180" w:type="dxa"/>
            <w:vAlign w:val="bottom"/>
          </w:tcPr>
          <w:p>
            <w:pPr>
              <w:ind w:left="280"/>
              <w:spacing w:after="0"/>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Beneficial</w:t>
            </w:r>
          </w:p>
        </w:tc>
      </w:tr>
    </w:tbl>
    <w:p>
      <w:pPr>
        <w:spacing w:after="0" w:line="1"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spacing w:after="0" w:line="135" w:lineRule="exact"/>
        <w:rPr>
          <w:sz w:val="24"/>
          <w:szCs w:val="24"/>
          <w:color w:val="auto"/>
        </w:rPr>
      </w:pPr>
    </w:p>
    <w:p>
      <w:pPr>
        <w:ind w:left="6800"/>
        <w:spacing w:after="0"/>
        <w:rPr>
          <w:sz w:val="20"/>
          <w:szCs w:val="20"/>
          <w:color w:val="auto"/>
        </w:rPr>
      </w:pPr>
      <w:r>
        <w:rPr>
          <w:rFonts w:ascii="Arial" w:cs="Arial" w:eastAsia="Arial" w:hAnsi="Arial"/>
          <w:sz w:val="15"/>
          <w:szCs w:val="15"/>
          <w:b w:val="1"/>
          <w:bCs w:val="1"/>
          <w:color w:val="auto"/>
        </w:rPr>
        <w:t>Amount</w:t>
      </w:r>
    </w:p>
    <w:p>
      <w:pPr>
        <w:ind w:left="6800"/>
        <w:spacing w:after="0"/>
        <w:rPr>
          <w:sz w:val="20"/>
          <w:szCs w:val="20"/>
          <w:color w:val="auto"/>
        </w:rPr>
      </w:pPr>
      <w:r>
        <w:rPr>
          <w:rFonts w:ascii="Arial" w:cs="Arial" w:eastAsia="Arial" w:hAnsi="Arial"/>
          <w:sz w:val="15"/>
          <w:szCs w:val="15"/>
          <w:b w:val="1"/>
          <w:bCs w:val="1"/>
          <w:color w:val="auto"/>
        </w:rPr>
        <w:t>or</w:t>
      </w:r>
    </w:p>
    <w:p>
      <w:pPr>
        <w:ind w:left="3100"/>
        <w:spacing w:after="0"/>
        <w:tabs>
          <w:tab w:leader="none" w:pos="4060" w:val="left"/>
          <w:tab w:leader="none" w:pos="678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Number</w:t>
      </w:r>
    </w:p>
    <w:p>
      <w:pPr>
        <w:ind w:left="3100"/>
        <w:spacing w:after="0"/>
        <w:tabs>
          <w:tab w:leader="none" w:pos="4060" w:val="left"/>
          <w:tab w:leader="none" w:pos="4940" w:val="left"/>
          <w:tab w:leader="none" w:pos="678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of 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20"/>
              <w:spacing w:after="0" w:line="151" w:lineRule="exact"/>
              <w:rPr>
                <w:sz w:val="20"/>
                <w:szCs w:val="20"/>
                <w:color w:val="auto"/>
              </w:rPr>
            </w:pPr>
            <w:r>
              <w:rPr>
                <w:rFonts w:ascii="Arial" w:cs="Arial" w:eastAsia="Arial" w:hAnsi="Arial"/>
                <w:sz w:val="15"/>
                <w:szCs w:val="15"/>
                <w:b w:val="1"/>
                <w:bCs w:val="1"/>
                <w:color w:val="auto"/>
              </w:rPr>
              <w:t>Direct (D)</w:t>
            </w:r>
          </w:p>
        </w:tc>
        <w:tc>
          <w:tcPr>
            <w:tcW w:w="1300" w:type="dxa"/>
            <w:vAlign w:val="bottom"/>
          </w:tcPr>
          <w:p>
            <w:pPr>
              <w:ind w:left="80"/>
              <w:spacing w:after="0" w:line="151" w:lineRule="exact"/>
              <w:rPr>
                <w:sz w:val="20"/>
                <w:szCs w:val="20"/>
                <w:color w:val="auto"/>
              </w:rPr>
            </w:pPr>
            <w:r>
              <w:rPr>
                <w:rFonts w:ascii="Arial" w:cs="Arial" w:eastAsia="Arial" w:hAnsi="Arial"/>
                <w:sz w:val="15"/>
                <w:szCs w:val="15"/>
                <w:b w:val="1"/>
                <w:bCs w:val="1"/>
                <w:color w:val="auto"/>
                <w:w w:val="97"/>
              </w:rPr>
              <w:t>Ownership (Instr.</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or Indirect</w:t>
            </w:r>
          </w:p>
        </w:tc>
        <w:tc>
          <w:tcPr>
            <w:tcW w:w="13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5)</w:t>
            </w: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1300" w:type="dxa"/>
            <w:vAlign w:val="bottom"/>
          </w:tcPr>
          <w:p>
            <w:pPr>
              <w:spacing w:after="0"/>
              <w:rPr>
                <w:sz w:val="17"/>
                <w:szCs w:val="17"/>
                <w:color w:val="auto"/>
              </w:rPr>
            </w:pPr>
          </w:p>
        </w:tc>
      </w:tr>
    </w:tbl>
    <w:p>
      <w:pPr>
        <w:spacing w:after="0" w:line="423" w:lineRule="exact"/>
        <w:rPr>
          <w:sz w:val="24"/>
          <w:szCs w:val="24"/>
          <w:color w:val="auto"/>
        </w:rPr>
      </w:pPr>
    </w:p>
    <w:p>
      <w:pPr>
        <w:sectPr>
          <w:pgSz w:w="11900" w:h="16838" w:orient="portrait"/>
          <w:cols w:equalWidth="0" w:num="2">
            <w:col w:w="7480" w:space="160"/>
            <w:col w:w="3300"/>
          </w:cols>
          <w:pgMar w:left="480" w:top="230" w:right="479" w:bottom="0" w:gutter="0" w:footer="0" w:header="0"/>
          <w:type w:val="continuous"/>
        </w:sectPr>
      </w:pPr>
    </w:p>
    <w:tbl>
      <w:tblPr>
        <w:tblLayout w:type="fixed"/>
        <w:tblInd w:w="20" w:type="dxa"/>
        <w:tblCellMar>
          <w:top w:w="0" w:type="dxa"/>
          <w:left w:w="0" w:type="dxa"/>
          <w:bottom w:w="0" w:type="dxa"/>
          <w:right w:w="0" w:type="dxa"/>
        </w:tblCellMar>
      </w:tblPr>
      <w:tr>
        <w:trPr>
          <w:trHeight w:val="240"/>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(3)</w:t>
            </w:r>
          </w:p>
        </w:tc>
        <w:tc>
          <w:tcPr>
            <w:tcW w:w="11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0000FF"/>
              </w:rPr>
              <w:t>11/14/2034</w:t>
            </w:r>
          </w:p>
        </w:tc>
        <w:tc>
          <w:tcPr>
            <w:tcW w:w="1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0000FF"/>
              </w:rPr>
              <w:t>25,000</w:t>
            </w:r>
            <w:r>
              <w:rPr>
                <w:rFonts w:ascii="Times New Roman" w:cs="Times New Roman" w:eastAsia="Times New Roman" w:hAnsi="Times New Roman"/>
                <w:sz w:val="25"/>
                <w:szCs w:val="25"/>
                <w:color w:val="008000"/>
                <w:vertAlign w:val="superscript"/>
              </w:rPr>
              <w:t>(1)</w:t>
            </w:r>
          </w:p>
        </w:tc>
        <w:tc>
          <w:tcPr>
            <w:tcW w:w="900" w:type="dxa"/>
            <w:vAlign w:val="bottom"/>
            <w:vMerge w:val="restart"/>
          </w:tcPr>
          <w:p>
            <w:pPr>
              <w:jc w:val="right"/>
              <w:ind w:right="262"/>
              <w:spacing w:after="0"/>
              <w:rPr>
                <w:sz w:val="20"/>
                <w:szCs w:val="20"/>
                <w:color w:val="auto"/>
              </w:rPr>
            </w:pPr>
            <w:r>
              <w:rPr>
                <w:rFonts w:ascii="Times New Roman" w:cs="Times New Roman" w:eastAsia="Times New Roman" w:hAnsi="Times New Roman"/>
                <w:sz w:val="20"/>
                <w:szCs w:val="20"/>
                <w:color w:val="0000FF"/>
              </w:rPr>
              <w:t>4.01</w:t>
            </w:r>
          </w:p>
        </w:tc>
        <w:tc>
          <w:tcPr>
            <w:tcW w:w="23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(4)</w:t>
            </w:r>
          </w:p>
        </w:tc>
        <w:tc>
          <w:tcPr>
            <w:tcW w:w="116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07/07/2035</w:t>
            </w:r>
          </w:p>
        </w:tc>
        <w:tc>
          <w:tcPr>
            <w:tcW w:w="1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0000FF"/>
              </w:rPr>
              <w:t>48,000</w:t>
            </w:r>
            <w:r>
              <w:rPr>
                <w:rFonts w:ascii="Times New Roman" w:cs="Times New Roman" w:eastAsia="Times New Roman" w:hAnsi="Times New Roman"/>
                <w:sz w:val="25"/>
                <w:szCs w:val="25"/>
                <w:color w:val="008000"/>
                <w:vertAlign w:val="superscript"/>
              </w:rPr>
              <w:t>(1)</w:t>
            </w:r>
          </w:p>
        </w:tc>
        <w:tc>
          <w:tcPr>
            <w:tcW w:w="900" w:type="dxa"/>
            <w:vAlign w:val="bottom"/>
            <w:vMerge w:val="restart"/>
          </w:tcPr>
          <w:p>
            <w:pPr>
              <w:jc w:val="right"/>
              <w:ind w:right="262"/>
              <w:spacing w:after="0"/>
              <w:rPr>
                <w:sz w:val="20"/>
                <w:szCs w:val="20"/>
                <w:color w:val="auto"/>
              </w:rPr>
            </w:pPr>
            <w:r>
              <w:rPr>
                <w:rFonts w:ascii="Times New Roman" w:cs="Times New Roman" w:eastAsia="Times New Roman" w:hAnsi="Times New Roman"/>
                <w:sz w:val="20"/>
                <w:szCs w:val="20"/>
                <w:color w:val="0000FF"/>
              </w:rPr>
              <w:t>4.96</w:t>
            </w:r>
          </w:p>
        </w:tc>
        <w:tc>
          <w:tcPr>
            <w:tcW w:w="23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8000"/>
              </w:rPr>
              <w:t>(5)</w:t>
            </w:r>
          </w:p>
        </w:tc>
        <w:tc>
          <w:tcPr>
            <w:tcW w:w="1160" w:type="dxa"/>
            <w:vAlign w:val="bottom"/>
            <w:vMerge w:val="restart"/>
          </w:tcPr>
          <w:p>
            <w:pPr>
              <w:jc w:val="right"/>
              <w:ind w:right="145"/>
              <w:spacing w:after="0"/>
              <w:rPr>
                <w:sz w:val="20"/>
                <w:szCs w:val="20"/>
                <w:color w:val="auto"/>
              </w:rPr>
            </w:pPr>
            <w:r>
              <w:rPr>
                <w:rFonts w:ascii="Times New Roman" w:cs="Times New Roman" w:eastAsia="Times New Roman" w:hAnsi="Times New Roman"/>
                <w:sz w:val="15"/>
                <w:szCs w:val="15"/>
                <w:color w:val="0000FF"/>
              </w:rPr>
              <w:t>11/24/2035</w:t>
            </w:r>
          </w:p>
        </w:tc>
        <w:tc>
          <w:tcPr>
            <w:tcW w:w="16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Common Stock</w:t>
            </w: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color w:val="0000FF"/>
              </w:rPr>
              <w:t>60,000</w:t>
            </w:r>
            <w:r>
              <w:rPr>
                <w:rFonts w:ascii="Times New Roman" w:cs="Times New Roman" w:eastAsia="Times New Roman" w:hAnsi="Times New Roman"/>
                <w:sz w:val="25"/>
                <w:szCs w:val="25"/>
                <w:color w:val="008000"/>
                <w:vertAlign w:val="superscript"/>
              </w:rPr>
              <w:t>(1)</w:t>
            </w:r>
          </w:p>
        </w:tc>
        <w:tc>
          <w:tcPr>
            <w:tcW w:w="900" w:type="dxa"/>
            <w:vAlign w:val="bottom"/>
            <w:vMerge w:val="restart"/>
          </w:tcPr>
          <w:p>
            <w:pPr>
              <w:jc w:val="right"/>
              <w:ind w:right="262"/>
              <w:spacing w:after="0"/>
              <w:rPr>
                <w:sz w:val="20"/>
                <w:szCs w:val="20"/>
                <w:color w:val="auto"/>
              </w:rPr>
            </w:pPr>
            <w:r>
              <w:rPr>
                <w:rFonts w:ascii="Times New Roman" w:cs="Times New Roman" w:eastAsia="Times New Roman" w:hAnsi="Times New Roman"/>
                <w:sz w:val="20"/>
                <w:szCs w:val="20"/>
                <w:color w:val="0000FF"/>
              </w:rPr>
              <w:t>5.55</w:t>
            </w:r>
          </w:p>
        </w:tc>
        <w:tc>
          <w:tcPr>
            <w:tcW w:w="23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5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reported herein were acquired by the Reporting Person prior to the Reporting Person becoming an executive officer of the Issuer. The Reporting Person was appointed as an executive officer of the Issuer effective June 29, 2026.</w:t>
      </w:r>
    </w:p>
    <w:p>
      <w:pPr>
        <w:spacing w:after="0" w:line="17" w:lineRule="exact"/>
        <w:rPr>
          <w:rFonts w:ascii="Times New Roman" w:cs="Times New Roman" w:eastAsia="Times New Roman" w:hAnsi="Times New Roman"/>
          <w:sz w:val="15"/>
          <w:szCs w:val="15"/>
          <w:color w:val="008000"/>
        </w:rPr>
      </w:pPr>
    </w:p>
    <w:p>
      <w:pPr>
        <w:jc w:val="both"/>
        <w:ind w:left="40" w:right="6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restricted stock units (the "RSU Award") payable solely in common stock of the Issuer. The shares subject to the RSU Award shall vest in four equal annual installments commencing on the one-year anniversary of the grant date of November 24, 2025, subject to the Reporting Person's continued service with the Issuer on each respective vesting date.</w:t>
      </w:r>
    </w:p>
    <w:p>
      <w:pPr>
        <w:spacing w:after="0" w:line="29" w:lineRule="exact"/>
        <w:rPr>
          <w:rFonts w:ascii="Times New Roman" w:cs="Times New Roman" w:eastAsia="Times New Roman" w:hAnsi="Times New Roman"/>
          <w:sz w:val="15"/>
          <w:szCs w:val="15"/>
          <w:color w:val="008000"/>
        </w:rPr>
      </w:pPr>
    </w:p>
    <w:p>
      <w:pPr>
        <w:ind w:left="40" w:right="2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(1/4th) of the shares subject to the option vested on the one-year anniversary of the vesting commencement date of November 14, 2024 (the "VCD"), and 1/36th of the remaining shares shall vest each month thereafter on the same day of the month as the VCD, subject to the Reporting Person's continuous service with the Issuer on each respective vesting date.</w:t>
      </w:r>
    </w:p>
    <w:p>
      <w:pPr>
        <w:spacing w:after="0" w:line="29"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(1/4th) of the shares subject to the option vested on the one-year anniversary of the vesting commencement date of June 2, 2025 (the "VCD"), and 1/36th of the remaining shares shall vest each month thereafter on the same day of the month as the VCD, subject to the Reporting Person's continuous service with the Issuer on each respective vesting date.</w:t>
      </w:r>
    </w:p>
    <w:p>
      <w:pPr>
        <w:spacing w:after="0" w:line="29" w:lineRule="exact"/>
        <w:rPr>
          <w:rFonts w:ascii="Times New Roman" w:cs="Times New Roman" w:eastAsia="Times New Roman" w:hAnsi="Times New Roman"/>
          <w:sz w:val="15"/>
          <w:szCs w:val="15"/>
          <w:color w:val="008000"/>
        </w:rPr>
      </w:pPr>
    </w:p>
    <w:p>
      <w:pPr>
        <w:ind w:left="40" w:right="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(1/4th) of the shares subject to the option shall vest on the one-year anniversary of the vesting commencement date of November 24, 2025 (the "VCD"), and 1/36th of the remaining shares shall vest each month thereafter on the same day of the month as the VCD, subject to the Reporting Person's continuous service with the Issuer on each respective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Mary Szela, Attorney-</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sectPr>
      <w:pgSz w:w="11900" w:h="16838" w:orient="portrait"/>
      <w:cols w:equalWidth="0" w:num="1">
        <w:col w:w="9939"/>
      </w:cols>
      <w:pgMar w:left="52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42265" TargetMode="External"/><Relationship Id="rId11" Type="http://schemas.openxmlformats.org/officeDocument/2006/relationships/hyperlink" Target="http://www.sec.gov/cgi-bin/browse-edgar?action=getcompany&amp;CIK=0001826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2026-06-29T15:52:47Z</dcterms:created>
  <dcterms:modified xsi:type="dcterms:W3CDTF">2026-06-29T15:52:47Z</dcterms:modified>
</cp:coreProperties>
</file>